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D0D18C9"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50750F" w:rsidRPr="0050750F">
        <w:rPr>
          <w:bCs/>
          <w:noProof w:val="0"/>
          <w:sz w:val="24"/>
          <w:szCs w:val="24"/>
        </w:rPr>
        <w:t>R2-1900292</w:t>
      </w:r>
    </w:p>
    <w:p w14:paraId="231362B2" w14:textId="277C9CBE"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114AB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750F" w:rsidRPr="0050750F">
        <w:rPr>
          <w:rFonts w:cs="Arial"/>
          <w:b/>
          <w:bCs/>
          <w:sz w:val="24"/>
          <w:lang w:eastAsia="ja-JP"/>
        </w:rPr>
        <w:t>10.4.1.9</w:t>
      </w:r>
    </w:p>
    <w:p w14:paraId="6A1BC0C1" w14:textId="76A98AB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367323">
        <w:rPr>
          <w:rFonts w:ascii="Arial" w:hAnsi="Arial" w:cs="Arial"/>
          <w:b/>
          <w:bCs/>
          <w:sz w:val="24"/>
        </w:rPr>
        <w:t xml:space="preserve">, </w:t>
      </w:r>
      <w:r w:rsidR="00367323" w:rsidRPr="00367323">
        <w:rPr>
          <w:rFonts w:ascii="Arial" w:hAnsi="Arial" w:cs="Arial"/>
          <w:b/>
          <w:bCs/>
          <w:sz w:val="24"/>
        </w:rPr>
        <w:t>Intel Corporation</w:t>
      </w:r>
      <w:r w:rsidR="00460377">
        <w:rPr>
          <w:rFonts w:ascii="Arial" w:hAnsi="Arial" w:cs="Arial"/>
          <w:b/>
          <w:bCs/>
          <w:sz w:val="24"/>
        </w:rPr>
        <w:t xml:space="preserve">, </w:t>
      </w:r>
      <w:r w:rsidR="00460377" w:rsidRPr="00460377">
        <w:rPr>
          <w:rFonts w:ascii="Arial" w:hAnsi="Arial" w:cs="Arial"/>
          <w:b/>
          <w:bCs/>
          <w:sz w:val="24"/>
        </w:rPr>
        <w:t>ZTE Corporation, Sanechips</w:t>
      </w:r>
      <w:r w:rsidR="00B31B83">
        <w:rPr>
          <w:rFonts w:ascii="Arial" w:hAnsi="Arial" w:cs="Arial"/>
          <w:b/>
          <w:bCs/>
          <w:sz w:val="24"/>
        </w:rPr>
        <w:t>, Sprint Corporation</w:t>
      </w:r>
      <w:bookmarkStart w:id="0" w:name="_GoBack"/>
      <w:bookmarkEnd w:id="0"/>
    </w:p>
    <w:p w14:paraId="45BE90BE" w14:textId="2F7084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7F27">
        <w:rPr>
          <w:rFonts w:ascii="Arial" w:hAnsi="Arial" w:cs="Arial"/>
          <w:b/>
          <w:bCs/>
          <w:sz w:val="24"/>
        </w:rPr>
        <w:t>Inter-Node Message impacts due to intra-band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2C8727E" w:rsidR="00CD4C7B" w:rsidRPr="000107C9" w:rsidRDefault="000107C9" w:rsidP="00CD4C7B">
      <w:pPr>
        <w:rPr>
          <w:lang w:val="fi-FI"/>
        </w:rPr>
      </w:pPr>
      <w:r>
        <w:t xml:space="preserve">In </w:t>
      </w:r>
      <w:r w:rsidR="00812D44">
        <w:t xml:space="preserve">[1], the air interface signalling was introduced to allow the UE to signal support for contiguous, non-contiguous or both intra-band EN-DC. This contribution proposes to address the inter-node messaging impacts from that agreed document. </w:t>
      </w:r>
    </w:p>
    <w:p w14:paraId="127ACA6D" w14:textId="7B15E158" w:rsidR="00CD4C7B" w:rsidRPr="006E13D1" w:rsidRDefault="00CD4C7B" w:rsidP="00CD4C7B">
      <w:pPr>
        <w:pStyle w:val="Heading1"/>
      </w:pPr>
      <w:r w:rsidRPr="006E13D1">
        <w:t>2</w:t>
      </w:r>
      <w:r w:rsidRPr="006E13D1">
        <w:tab/>
      </w:r>
      <w:r w:rsidR="00812D44">
        <w:t>Scenarios for intra-band EN-DC</w:t>
      </w:r>
    </w:p>
    <w:p w14:paraId="63949F3D" w14:textId="63B5ED43" w:rsidR="00405408" w:rsidRDefault="00812D44" w:rsidP="00812D44">
      <w:r>
        <w:t xml:space="preserve">Based on our understanding, as of today the </w:t>
      </w:r>
      <w:r w:rsidRPr="00812D44">
        <w:t>eNB</w:t>
      </w:r>
      <w:r w:rsidR="00405408">
        <w:t xml:space="preserve"> and SgNB</w:t>
      </w:r>
      <w:r w:rsidRPr="00812D44">
        <w:t xml:space="preserve"> </w:t>
      </w:r>
      <w:r w:rsidR="00405408">
        <w:t>can</w:t>
      </w:r>
      <w:r w:rsidRPr="00812D44">
        <w:t xml:space="preserve"> know each intra-band EN-DC BC in allowedBC-listMRDC</w:t>
      </w:r>
      <w:r w:rsidR="00405408">
        <w:t xml:space="preserve"> with the agreed CR. However, the SgNB does not exactly know the LTE serving cell(s) information so in our view it is not possible for the SgNB to be able to allocate the corresponding frequencies and carriers in its part. In our view, the following scenarios are all possible:</w:t>
      </w:r>
    </w:p>
    <w:p w14:paraId="31682D3D" w14:textId="049C4D0A" w:rsidR="00405408" w:rsidRDefault="00405408" w:rsidP="00812D44"/>
    <w:p w14:paraId="7B441DDE" w14:textId="5DC1E0FB" w:rsidR="00405408" w:rsidRDefault="00405408" w:rsidP="00405408">
      <w:pPr>
        <w:jc w:val="center"/>
      </w:pPr>
      <w:r>
        <w:rPr>
          <w:noProof/>
        </w:rPr>
        <w:drawing>
          <wp:inline distT="0" distB="0" distL="0" distR="0" wp14:anchorId="33EB6E23" wp14:editId="1D275ADD">
            <wp:extent cx="3224945" cy="1922145"/>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0783" cy="1925624"/>
                    </a:xfrm>
                    <a:prstGeom prst="rect">
                      <a:avLst/>
                    </a:prstGeom>
                    <a:noFill/>
                  </pic:spPr>
                </pic:pic>
              </a:graphicData>
            </a:graphic>
          </wp:inline>
        </w:drawing>
      </w:r>
    </w:p>
    <w:p w14:paraId="6558E3AA" w14:textId="430D44AC" w:rsidR="00405408" w:rsidRPr="00405408" w:rsidRDefault="00405408" w:rsidP="00405408">
      <w:pPr>
        <w:jc w:val="center"/>
        <w:rPr>
          <w:b/>
        </w:rPr>
      </w:pPr>
      <w:r w:rsidRPr="00405408">
        <w:rPr>
          <w:b/>
        </w:rPr>
        <w:t>Figure 2-1: Intra-band contiguous EN-DC cases (Scenario 2 adds CA on top of Scenario 1)</w:t>
      </w:r>
    </w:p>
    <w:p w14:paraId="3FB52FF7" w14:textId="7456ECFB" w:rsidR="00405408" w:rsidRDefault="00405408" w:rsidP="00405408">
      <w:pPr>
        <w:jc w:val="center"/>
      </w:pPr>
      <w:r>
        <w:rPr>
          <w:noProof/>
        </w:rPr>
        <w:lastRenderedPageBreak/>
        <w:drawing>
          <wp:inline distT="0" distB="0" distL="0" distR="0" wp14:anchorId="275C36F9" wp14:editId="478C9276">
            <wp:extent cx="4123103" cy="24434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8276" cy="2446546"/>
                    </a:xfrm>
                    <a:prstGeom prst="rect">
                      <a:avLst/>
                    </a:prstGeom>
                    <a:noFill/>
                  </pic:spPr>
                </pic:pic>
              </a:graphicData>
            </a:graphic>
          </wp:inline>
        </w:drawing>
      </w:r>
    </w:p>
    <w:p w14:paraId="3884F67D" w14:textId="03F73C8B" w:rsidR="00CD4C7B" w:rsidRDefault="00405408" w:rsidP="00405408">
      <w:pPr>
        <w:jc w:val="center"/>
        <w:rPr>
          <w:b/>
        </w:rPr>
      </w:pPr>
      <w:r w:rsidRPr="00405408">
        <w:rPr>
          <w:b/>
        </w:rPr>
        <w:t>Figure 2-</w:t>
      </w:r>
      <w:r>
        <w:rPr>
          <w:b/>
        </w:rPr>
        <w:t>2</w:t>
      </w:r>
      <w:r w:rsidRPr="00405408">
        <w:rPr>
          <w:b/>
        </w:rPr>
        <w:t xml:space="preserve">: Intra-band </w:t>
      </w:r>
      <w:r>
        <w:rPr>
          <w:b/>
        </w:rPr>
        <w:t>non-contiguous EN-DC cases</w:t>
      </w:r>
    </w:p>
    <w:p w14:paraId="3EDA5146" w14:textId="28EDBB0D" w:rsidR="00405408" w:rsidRDefault="00405408" w:rsidP="00405408">
      <w:pPr>
        <w:jc w:val="center"/>
      </w:pPr>
      <w:r>
        <w:rPr>
          <w:noProof/>
        </w:rPr>
        <w:drawing>
          <wp:inline distT="0" distB="0" distL="0" distR="0" wp14:anchorId="611F6C50" wp14:editId="41425618">
            <wp:extent cx="4415626" cy="1525088"/>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23782" cy="1527905"/>
                    </a:xfrm>
                    <a:prstGeom prst="rect">
                      <a:avLst/>
                    </a:prstGeom>
                    <a:noFill/>
                  </pic:spPr>
                </pic:pic>
              </a:graphicData>
            </a:graphic>
          </wp:inline>
        </w:drawing>
      </w:r>
    </w:p>
    <w:p w14:paraId="719F076C" w14:textId="562B4EA3" w:rsidR="00405408" w:rsidRDefault="00405408" w:rsidP="00405408">
      <w:pPr>
        <w:jc w:val="center"/>
        <w:rPr>
          <w:b/>
        </w:rPr>
      </w:pPr>
      <w:r w:rsidRPr="00405408">
        <w:rPr>
          <w:b/>
        </w:rPr>
        <w:t>Figure 2-</w:t>
      </w:r>
      <w:r>
        <w:rPr>
          <w:b/>
        </w:rPr>
        <w:t>3</w:t>
      </w:r>
      <w:r w:rsidRPr="00405408">
        <w:rPr>
          <w:b/>
        </w:rPr>
        <w:t xml:space="preserve">: Intra-band </w:t>
      </w:r>
      <w:r>
        <w:rPr>
          <w:b/>
        </w:rPr>
        <w:t>non-contiguous EN-DC cases (at band extremity)</w:t>
      </w:r>
    </w:p>
    <w:p w14:paraId="49FE5B5F" w14:textId="072AC306" w:rsidR="00405408" w:rsidRDefault="00405408" w:rsidP="00405408">
      <w:pPr>
        <w:jc w:val="center"/>
      </w:pPr>
      <w:r>
        <w:rPr>
          <w:noProof/>
        </w:rPr>
        <w:drawing>
          <wp:inline distT="0" distB="0" distL="0" distR="0" wp14:anchorId="6AE8DCB3" wp14:editId="58557DD9">
            <wp:extent cx="4149897" cy="184395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3726" cy="1850095"/>
                    </a:xfrm>
                    <a:prstGeom prst="rect">
                      <a:avLst/>
                    </a:prstGeom>
                    <a:noFill/>
                  </pic:spPr>
                </pic:pic>
              </a:graphicData>
            </a:graphic>
          </wp:inline>
        </w:drawing>
      </w:r>
    </w:p>
    <w:p w14:paraId="03A7DAF5" w14:textId="1C82C722" w:rsidR="00405408" w:rsidRDefault="00405408" w:rsidP="00405408">
      <w:pPr>
        <w:jc w:val="center"/>
        <w:rPr>
          <w:b/>
        </w:rPr>
      </w:pPr>
      <w:r w:rsidRPr="00405408">
        <w:rPr>
          <w:b/>
        </w:rPr>
        <w:t>Figure 2-</w:t>
      </w:r>
      <w:r>
        <w:rPr>
          <w:b/>
        </w:rPr>
        <w:t>4</w:t>
      </w:r>
      <w:r w:rsidRPr="00405408">
        <w:rPr>
          <w:b/>
        </w:rPr>
        <w:t xml:space="preserve">: Intra-band </w:t>
      </w:r>
      <w:r>
        <w:rPr>
          <w:b/>
        </w:rPr>
        <w:t>non-contiguous EN-DC cases (not at band extremity)</w:t>
      </w:r>
    </w:p>
    <w:p w14:paraId="4B8C3C5F" w14:textId="6BDC71B9" w:rsidR="00DE5BBE" w:rsidRPr="00405408" w:rsidRDefault="00405408" w:rsidP="00405408">
      <w:pPr>
        <w:rPr>
          <w:b/>
        </w:rPr>
      </w:pPr>
      <w:r w:rsidRPr="00405408">
        <w:rPr>
          <w:b/>
        </w:rPr>
        <w:t>Observation 1:</w:t>
      </w:r>
      <w:r>
        <w:rPr>
          <w:b/>
        </w:rPr>
        <w:t xml:space="preserve"> </w:t>
      </w:r>
      <w:r w:rsidR="00A65A28">
        <w:rPr>
          <w:b/>
        </w:rPr>
        <w:t>The SN needs to know the allocation of carriers and their bandwidth from the MN.</w:t>
      </w:r>
    </w:p>
    <w:p w14:paraId="5FF0E443" w14:textId="2111E991" w:rsidR="00CD4C7B" w:rsidRPr="006E13D1" w:rsidRDefault="00CD4C7B" w:rsidP="00CD4C7B">
      <w:pPr>
        <w:pStyle w:val="Heading1"/>
      </w:pPr>
      <w:r w:rsidRPr="006E13D1">
        <w:t>3</w:t>
      </w:r>
      <w:r w:rsidRPr="006E13D1">
        <w:tab/>
      </w:r>
      <w:r w:rsidR="00DE5BBE">
        <w:t>Proposed solution</w:t>
      </w:r>
    </w:p>
    <w:p w14:paraId="458E3426" w14:textId="67443D1B" w:rsidR="00CD4C7B" w:rsidRDefault="00DE5BBE" w:rsidP="00CD4C7B">
      <w:r>
        <w:t>A simple solution is to extend the inter-no</w:t>
      </w:r>
      <w:r w:rsidR="007F2984">
        <w:t>de message signalling to signal the LTE SCell (incl. Pcell) carrier frequency</w:t>
      </w:r>
      <w:r w:rsidR="00CD4C7B" w:rsidRPr="006E13D1">
        <w:t xml:space="preserve"> </w:t>
      </w:r>
      <w:r w:rsidR="007F2984">
        <w:t>and bandwidth from the MN to the SN.</w:t>
      </w:r>
    </w:p>
    <w:p w14:paraId="3FE92979" w14:textId="6EE8D9AD" w:rsidR="00BC31F9" w:rsidRDefault="00BC31F9" w:rsidP="00CD4C7B"/>
    <w:p w14:paraId="75F3B010" w14:textId="0A5F5059" w:rsidR="00BC31F9" w:rsidRDefault="00BC31F9" w:rsidP="00BC31F9">
      <w:pPr>
        <w:jc w:val="center"/>
      </w:pPr>
      <w:r>
        <w:rPr>
          <w:noProof/>
        </w:rPr>
        <w:lastRenderedPageBreak/>
        <w:drawing>
          <wp:inline distT="0" distB="0" distL="0" distR="0" wp14:anchorId="0F2E1C45" wp14:editId="0569AE75">
            <wp:extent cx="4394848" cy="14518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25036" cy="1461777"/>
                    </a:xfrm>
                    <a:prstGeom prst="rect">
                      <a:avLst/>
                    </a:prstGeom>
                    <a:noFill/>
                  </pic:spPr>
                </pic:pic>
              </a:graphicData>
            </a:graphic>
          </wp:inline>
        </w:drawing>
      </w:r>
    </w:p>
    <w:p w14:paraId="41271A27" w14:textId="2AD82B18" w:rsidR="00BC31F9" w:rsidRDefault="00BC31F9" w:rsidP="00BC31F9">
      <w:pPr>
        <w:jc w:val="center"/>
        <w:rPr>
          <w:b/>
        </w:rPr>
      </w:pPr>
      <w:r w:rsidRPr="00405408">
        <w:rPr>
          <w:b/>
        </w:rPr>
        <w:t xml:space="preserve">Figure </w:t>
      </w:r>
      <w:r>
        <w:rPr>
          <w:b/>
        </w:rPr>
        <w:t>3-1</w:t>
      </w:r>
      <w:r w:rsidRPr="00405408">
        <w:rPr>
          <w:b/>
        </w:rPr>
        <w:t xml:space="preserve">: </w:t>
      </w:r>
      <w:r>
        <w:rPr>
          <w:b/>
        </w:rPr>
        <w:t>Introducing the LTE_Alloc IE in inter-node message</w:t>
      </w:r>
    </w:p>
    <w:p w14:paraId="5221EE30" w14:textId="7A70B158" w:rsidR="00BC31F9" w:rsidRDefault="00BC31F9" w:rsidP="00BC31F9">
      <w:r>
        <w:t>Based on Figure 3-1, the MN sharing this information with SN will allow the SN to make the choice depending on the scenarios discussed in section 2.</w:t>
      </w:r>
    </w:p>
    <w:p w14:paraId="505077A0" w14:textId="47FE766E" w:rsidR="00365995" w:rsidRPr="00051D00" w:rsidRDefault="00365995" w:rsidP="00BC31F9">
      <w:pPr>
        <w:rPr>
          <w:color w:val="FF0000"/>
        </w:rPr>
      </w:pPr>
      <w:r w:rsidRPr="00051D00">
        <w:rPr>
          <w:color w:val="FF0000"/>
        </w:rPr>
        <w:t>#Paste a small part of the proposed changes to TS 38.331 here as well.</w:t>
      </w:r>
    </w:p>
    <w:p w14:paraId="41F9F888" w14:textId="136EF030" w:rsidR="00BC31F9" w:rsidRDefault="00BC31F9" w:rsidP="00BC31F9">
      <w:pPr>
        <w:rPr>
          <w:b/>
        </w:rPr>
      </w:pPr>
      <w:r>
        <w:t xml:space="preserve">A draft CR showing the changes in TS 38.331 in [2] is </w:t>
      </w:r>
      <w:r w:rsidR="00C34FED">
        <w:t>also submitted to RAN2 for discussion.</w:t>
      </w:r>
    </w:p>
    <w:p w14:paraId="43A12B72" w14:textId="1BC862DD" w:rsidR="00CD4C7B" w:rsidRPr="006E13D1" w:rsidRDefault="00CD4C7B" w:rsidP="00CD4C7B">
      <w:pPr>
        <w:pStyle w:val="Heading1"/>
      </w:pPr>
      <w:r w:rsidRPr="006E13D1">
        <w:t>4</w:t>
      </w:r>
      <w:r w:rsidRPr="006E13D1">
        <w:tab/>
      </w:r>
      <w:r w:rsidR="00DE5BBE">
        <w:t>Conclusion</w:t>
      </w:r>
    </w:p>
    <w:p w14:paraId="055200B7" w14:textId="3C8BAF72" w:rsidR="00CD4C7B" w:rsidRDefault="00BC31F9" w:rsidP="00CD4C7B">
      <w:r>
        <w:t>This contribution addressed the inter-node messaging impacts corresponding to the air interface signalling that was introduced to allow the UE to signal support for contiguous, non-contiguous or both intra-band EN-DC.</w:t>
      </w:r>
    </w:p>
    <w:p w14:paraId="55D67165" w14:textId="2B1A37E7" w:rsidR="00BC31F9" w:rsidRPr="00F141BF" w:rsidRDefault="00BC31F9" w:rsidP="00CD4C7B">
      <w:pPr>
        <w:rPr>
          <w:b/>
        </w:rPr>
      </w:pPr>
      <w:r w:rsidRPr="00F141BF">
        <w:rPr>
          <w:b/>
        </w:rPr>
        <w:t xml:space="preserve">Proposal 1: RAN2 to discuss </w:t>
      </w:r>
      <w:r w:rsidR="00666A92">
        <w:rPr>
          <w:b/>
        </w:rPr>
        <w:t>the</w:t>
      </w:r>
      <w:r w:rsidR="00C34FED" w:rsidRPr="00F141BF">
        <w:rPr>
          <w:b/>
        </w:rPr>
        <w:t xml:space="preserve"> proposal in the draft CR</w:t>
      </w:r>
      <w:r w:rsidR="00151B4F">
        <w:rPr>
          <w:b/>
        </w:rPr>
        <w:t xml:space="preserve"> to TS 38.331</w:t>
      </w:r>
      <w:r w:rsidR="00C34FED" w:rsidRPr="00F141BF">
        <w:rPr>
          <w:b/>
        </w:rPr>
        <w:t xml:space="preserve"> in </w:t>
      </w:r>
      <w:r w:rsidR="00372697" w:rsidRPr="00372697">
        <w:rPr>
          <w:b/>
        </w:rPr>
        <w:t>R2-1900293</w:t>
      </w:r>
      <w:r w:rsidR="00C34FED" w:rsidRPr="00F141BF">
        <w:rPr>
          <w:b/>
        </w:rPr>
        <w:t>.</w:t>
      </w:r>
    </w:p>
    <w:p w14:paraId="65466E1B" w14:textId="77777777" w:rsidR="000107C9" w:rsidRPr="000107C9" w:rsidRDefault="000107C9" w:rsidP="000107C9">
      <w:pPr>
        <w:pStyle w:val="Heading1"/>
      </w:pPr>
      <w:r w:rsidRPr="006E13D1">
        <w:t>References</w:t>
      </w:r>
    </w:p>
    <w:p w14:paraId="59FAFD4A" w14:textId="4644222F" w:rsidR="000107C9" w:rsidRPr="00495B5E" w:rsidRDefault="000107C9" w:rsidP="000107C9">
      <w:pPr>
        <w:numPr>
          <w:ilvl w:val="0"/>
          <w:numId w:val="4"/>
        </w:numPr>
        <w:overflowPunct w:val="0"/>
        <w:autoSpaceDE w:val="0"/>
        <w:autoSpaceDN w:val="0"/>
        <w:adjustRightInd w:val="0"/>
        <w:textAlignment w:val="baseline"/>
      </w:pPr>
      <w:r w:rsidRPr="00495B5E">
        <w:rPr>
          <w:b/>
        </w:rPr>
        <w:t>R2-1818898</w:t>
      </w:r>
      <w:r w:rsidRPr="00495B5E">
        <w:t>: CR on signaling contiguous and non-contiguous EN-DC capability, Intel Corporation, T-Mobile USA</w:t>
      </w:r>
    </w:p>
    <w:p w14:paraId="3EE03253" w14:textId="4A647437" w:rsidR="00C34FED" w:rsidRPr="00495B5E" w:rsidRDefault="00372697" w:rsidP="00C34FED">
      <w:pPr>
        <w:numPr>
          <w:ilvl w:val="0"/>
          <w:numId w:val="4"/>
        </w:numPr>
        <w:overflowPunct w:val="0"/>
        <w:autoSpaceDE w:val="0"/>
        <w:autoSpaceDN w:val="0"/>
        <w:adjustRightInd w:val="0"/>
        <w:textAlignment w:val="baseline"/>
      </w:pPr>
      <w:r w:rsidRPr="00372697">
        <w:rPr>
          <w:b/>
        </w:rPr>
        <w:t>R2-1900293</w:t>
      </w:r>
      <w:r w:rsidR="00C34FED" w:rsidRPr="00495B5E">
        <w:t xml:space="preserve">: CR TS 38.331 for inter-node message impacts due to intra-band EN-DC. </w:t>
      </w:r>
    </w:p>
    <w:p w14:paraId="35F222F4" w14:textId="77777777" w:rsidR="00080512" w:rsidRPr="00CD4C7B" w:rsidRDefault="00080512" w:rsidP="00CD4C7B"/>
    <w:sectPr w:rsidR="00080512" w:rsidRPr="00CD4C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EB2F1" w14:textId="77777777" w:rsidR="00037511" w:rsidRDefault="00037511">
      <w:r>
        <w:separator/>
      </w:r>
    </w:p>
  </w:endnote>
  <w:endnote w:type="continuationSeparator" w:id="0">
    <w:p w14:paraId="666B27C4" w14:textId="77777777" w:rsidR="00037511" w:rsidRDefault="0003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F393B" w14:textId="77777777" w:rsidR="00037511" w:rsidRDefault="00037511">
      <w:r>
        <w:separator/>
      </w:r>
    </w:p>
  </w:footnote>
  <w:footnote w:type="continuationSeparator" w:id="0">
    <w:p w14:paraId="5BED212B" w14:textId="77777777" w:rsidR="00037511" w:rsidRDefault="00037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A7587EA8"/>
    <w:lvl w:ilvl="0" w:tplc="879E2448">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7C9"/>
    <w:rsid w:val="00033397"/>
    <w:rsid w:val="00037511"/>
    <w:rsid w:val="00040095"/>
    <w:rsid w:val="00051D00"/>
    <w:rsid w:val="00080512"/>
    <w:rsid w:val="00090468"/>
    <w:rsid w:val="000B7BCF"/>
    <w:rsid w:val="000C522B"/>
    <w:rsid w:val="000D58AB"/>
    <w:rsid w:val="00112F1A"/>
    <w:rsid w:val="00133379"/>
    <w:rsid w:val="00145075"/>
    <w:rsid w:val="00151B4F"/>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D5706"/>
    <w:rsid w:val="002F0D22"/>
    <w:rsid w:val="003172DC"/>
    <w:rsid w:val="00325AE3"/>
    <w:rsid w:val="00326069"/>
    <w:rsid w:val="0035462D"/>
    <w:rsid w:val="00364B41"/>
    <w:rsid w:val="00365995"/>
    <w:rsid w:val="00367323"/>
    <w:rsid w:val="00372697"/>
    <w:rsid w:val="003A41EF"/>
    <w:rsid w:val="003B40AD"/>
    <w:rsid w:val="003C4E37"/>
    <w:rsid w:val="003E16BE"/>
    <w:rsid w:val="003F4E28"/>
    <w:rsid w:val="004006E8"/>
    <w:rsid w:val="00401855"/>
    <w:rsid w:val="00405408"/>
    <w:rsid w:val="00460377"/>
    <w:rsid w:val="00465587"/>
    <w:rsid w:val="00477455"/>
    <w:rsid w:val="00495B5E"/>
    <w:rsid w:val="004A1F7B"/>
    <w:rsid w:val="004C44D2"/>
    <w:rsid w:val="004D3578"/>
    <w:rsid w:val="004D380D"/>
    <w:rsid w:val="004E213A"/>
    <w:rsid w:val="00503171"/>
    <w:rsid w:val="00506C28"/>
    <w:rsid w:val="0050750F"/>
    <w:rsid w:val="00534DA0"/>
    <w:rsid w:val="00543E6C"/>
    <w:rsid w:val="00565087"/>
    <w:rsid w:val="0056573F"/>
    <w:rsid w:val="00611566"/>
    <w:rsid w:val="00646D99"/>
    <w:rsid w:val="00656910"/>
    <w:rsid w:val="00666A92"/>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7E574F"/>
    <w:rsid w:val="007F2984"/>
    <w:rsid w:val="008028A4"/>
    <w:rsid w:val="00812D44"/>
    <w:rsid w:val="00813245"/>
    <w:rsid w:val="00824C0D"/>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65A28"/>
    <w:rsid w:val="00A82346"/>
    <w:rsid w:val="00A9671C"/>
    <w:rsid w:val="00AA1553"/>
    <w:rsid w:val="00B05380"/>
    <w:rsid w:val="00B05962"/>
    <w:rsid w:val="00B15449"/>
    <w:rsid w:val="00B27303"/>
    <w:rsid w:val="00B31B83"/>
    <w:rsid w:val="00B474FE"/>
    <w:rsid w:val="00B47FD1"/>
    <w:rsid w:val="00B516BB"/>
    <w:rsid w:val="00B84DB2"/>
    <w:rsid w:val="00BC31F9"/>
    <w:rsid w:val="00BC3555"/>
    <w:rsid w:val="00C12B51"/>
    <w:rsid w:val="00C24650"/>
    <w:rsid w:val="00C25465"/>
    <w:rsid w:val="00C33079"/>
    <w:rsid w:val="00C34FED"/>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E5BBE"/>
    <w:rsid w:val="00E27F27"/>
    <w:rsid w:val="00E46C08"/>
    <w:rsid w:val="00E471CF"/>
    <w:rsid w:val="00E62835"/>
    <w:rsid w:val="00E77645"/>
    <w:rsid w:val="00E83697"/>
    <w:rsid w:val="00EC4A25"/>
    <w:rsid w:val="00EF19BD"/>
    <w:rsid w:val="00F025A2"/>
    <w:rsid w:val="00F07388"/>
    <w:rsid w:val="00F141BF"/>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105</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57</cp:revision>
  <dcterms:created xsi:type="dcterms:W3CDTF">2016-08-12T03:53:00Z</dcterms:created>
  <dcterms:modified xsi:type="dcterms:W3CDTF">2019-02-14T20:22:00Z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